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Bachelor of Education (Special Education) – Intellectual Disability</w:t>
      </w:r>
    </w:p>
    <w:p>
      <w:pPr>
        <w:shd w:val="clear" w:color="auto" w:fill="FFFFFF"/>
        <w:ind w:left="547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A-2 </w:t>
      </w:r>
      <w:r>
        <w:rPr>
          <w:color w:val="000000"/>
          <w:spacing w:val="7"/>
          <w:sz w:val="24"/>
          <w:szCs w:val="24"/>
        </w:rPr>
        <w:t>CONTEMPORARY INDIA AND EDUCATION</w:t>
      </w: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Semester - I</w:t>
      </w:r>
    </w:p>
    <w:p>
      <w:pPr>
        <w:shd w:val="clear" w:color="auto" w:fill="FFFFFF"/>
        <w:tabs>
          <w:tab w:val="left" w:pos="7867"/>
        </w:tabs>
        <w:spacing w:before="398"/>
        <w:ind w:left="5"/>
        <w:jc w:val="right"/>
      </w:pPr>
      <w:r>
        <w:rPr>
          <w:color w:val="000000"/>
          <w:spacing w:val="-2"/>
          <w:sz w:val="24"/>
          <w:szCs w:val="24"/>
        </w:rPr>
        <w:t>Credits: 04</w:t>
      </w:r>
    </w:p>
    <w:p>
      <w:pPr>
        <w:shd w:val="clear" w:color="auto" w:fill="FFFFFF"/>
        <w:tabs>
          <w:tab w:val="left" w:pos="7834"/>
        </w:tabs>
        <w:spacing w:before="134"/>
        <w:ind w:left="5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Marks: 100 (External: 70, Internal: 30)</w:t>
      </w:r>
    </w:p>
    <w:p>
      <w:pPr>
        <w:shd w:val="clear" w:color="auto" w:fill="FFFFFF"/>
        <w:tabs>
          <w:tab w:val="left" w:pos="7834"/>
        </w:tabs>
        <w:spacing w:before="134"/>
        <w:ind w:left="5"/>
        <w:jc w:val="right"/>
      </w:pPr>
      <w:r>
        <w:rPr>
          <w:color w:val="000000"/>
          <w:spacing w:val="-3"/>
          <w:sz w:val="24"/>
          <w:szCs w:val="24"/>
        </w:rPr>
        <w:t>Contact Hours: 15 Weeks</w:t>
      </w:r>
    </w:p>
    <w:p>
      <w:pPr>
        <w:shd w:val="clear" w:color="auto" w:fill="FFFFFF"/>
        <w:spacing w:before="370"/>
      </w:pPr>
      <w:r>
        <w:rPr>
          <w:b/>
          <w:bCs/>
          <w:color w:val="000000"/>
          <w:spacing w:val="-1"/>
          <w:sz w:val="24"/>
          <w:szCs w:val="24"/>
        </w:rPr>
        <w:t>Introduction</w:t>
      </w:r>
    </w:p>
    <w:p>
      <w:pPr>
        <w:shd w:val="clear" w:color="auto" w:fill="FFFFFF"/>
        <w:spacing w:before="86" w:line="317" w:lineRule="exact"/>
        <w:jc w:val="both"/>
      </w:pPr>
      <w:r>
        <w:rPr>
          <w:color w:val="000000"/>
          <w:spacing w:val="3"/>
          <w:sz w:val="24"/>
          <w:szCs w:val="24"/>
        </w:rPr>
        <w:t xml:space="preserve">This course will enable student-teachers to explore education from a philosophical and </w:t>
      </w:r>
      <w:r>
        <w:rPr>
          <w:color w:val="000000"/>
          <w:spacing w:val="1"/>
          <w:sz w:val="24"/>
          <w:szCs w:val="24"/>
        </w:rPr>
        <w:t>sociological perspective and also provide hands on experience of engaging with diverse communities, children and schools. It also traces the educational developments in the historical and contemporary context.</w:t>
      </w:r>
      <w:r>
        <w:rPr>
          <w:color w:val="000000"/>
          <w:spacing w:val="2"/>
          <w:sz w:val="24"/>
          <w:szCs w:val="24"/>
        </w:rPr>
        <w:t xml:space="preserve"> The course also builds various commissions, policies </w:t>
      </w:r>
      <w:r>
        <w:rPr>
          <w:color w:val="000000"/>
          <w:sz w:val="24"/>
          <w:szCs w:val="24"/>
        </w:rPr>
        <w:t>issues and trends in the field of education, special education and inclusive education.</w:t>
      </w:r>
    </w:p>
    <w:p>
      <w:pPr>
        <w:shd w:val="clear" w:color="auto" w:fill="FFFFFF"/>
        <w:spacing w:before="269"/>
        <w:ind w:left="5"/>
      </w:pPr>
      <w:r>
        <w:rPr>
          <w:color w:val="000000"/>
          <w:spacing w:val="3"/>
          <w:sz w:val="24"/>
          <w:szCs w:val="24"/>
        </w:rPr>
        <w:t>Objectives</w:t>
      </w:r>
    </w:p>
    <w:p>
      <w:pPr>
        <w:shd w:val="clear" w:color="auto" w:fill="FFFFFF"/>
        <w:spacing w:before="115"/>
        <w:ind w:left="427"/>
      </w:pPr>
      <w:r>
        <w:rPr>
          <w:color w:val="000000"/>
          <w:sz w:val="24"/>
          <w:szCs w:val="24"/>
        </w:rPr>
        <w:t>After completing this course the student-teachers will be able to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06" w:line="331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Understand basic concepts &amp; issues in educational theory.  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31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Analyse the development of the educational system in its historical &amp; contemporary contexts.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31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Understand the concept of diversity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4" w:line="317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Develop perspective on the understanding of the trends,   issues,   and challenges in the field of education and special education</w:t>
      </w:r>
      <w:r>
        <w:rPr>
          <w:rFonts w:eastAsia="Times New Roman"/>
          <w:color w:val="000000"/>
          <w:sz w:val="24"/>
          <w:szCs w:val="24"/>
        </w:rPr>
        <w:t xml:space="preserve"> in the global context.</w:t>
      </w:r>
    </w:p>
    <w:p>
      <w:pPr>
        <w:shd w:val="clear" w:color="auto" w:fill="FFFFFF"/>
        <w:tabs>
          <w:tab w:val="left" w:pos="701"/>
        </w:tabs>
        <w:spacing w:before="14" w:line="317" w:lineRule="exact"/>
        <w:ind w:left="1085"/>
        <w:jc w:val="both"/>
        <w:rPr>
          <w:rFonts w:eastAsia="Times New Roman"/>
          <w:i/>
          <w:iCs/>
          <w:color w:val="000000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b/>
          <w:bCs/>
          <w:sz w:val="24"/>
          <w:szCs w:val="24"/>
        </w:rPr>
        <w:t>Unit 1: Philosophical and Sociological Foundations of Education</w:t>
      </w: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</w:t>
      </w:r>
      <w:r>
        <w:rPr>
          <w:rFonts w:hint="default" w:cs="Times New Roman"/>
          <w:b/>
          <w:bCs/>
          <w:color w:val="000000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hours)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spacing w:line="160" w:lineRule="exact"/>
        <w:rPr>
          <w:sz w:val="24"/>
          <w:szCs w:val="24"/>
        </w:rPr>
      </w:pPr>
    </w:p>
    <w:p>
      <w:pPr>
        <w:numPr>
          <w:ilvl w:val="0"/>
          <w:numId w:val="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Basic concepts in philosophy of education: Teaching, Training, Learning, Enquiry and Education in the context of child’s nature, growth and development  </w:t>
      </w:r>
    </w:p>
    <w:p>
      <w:pPr>
        <w:spacing w:line="40" w:lineRule="exact"/>
        <w:rPr>
          <w:sz w:val="24"/>
          <w:szCs w:val="24"/>
        </w:rPr>
      </w:pPr>
    </w:p>
    <w:p>
      <w:pPr>
        <w:spacing w:line="56" w:lineRule="exact"/>
        <w:rPr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855"/>
        </w:tabs>
        <w:overflowPunct w:val="0"/>
        <w:spacing w:line="263" w:lineRule="auto"/>
        <w:jc w:val="both"/>
        <w:rPr>
          <w:sz w:val="24"/>
          <w:szCs w:val="24"/>
        </w:rPr>
      </w:pPr>
      <w:r>
        <w:rPr>
          <w:sz w:val="24"/>
          <w:szCs w:val="24"/>
        </w:rPr>
        <w:t>Philosophies of Education: idealism, naturalism, pragmatism, existentialism and humanism</w:t>
      </w:r>
    </w:p>
    <w:p>
      <w:pPr>
        <w:spacing w:line="15" w:lineRule="exact"/>
        <w:rPr>
          <w:sz w:val="24"/>
          <w:szCs w:val="24"/>
        </w:rPr>
      </w:pPr>
    </w:p>
    <w:p>
      <w:pPr>
        <w:spacing w:line="40" w:lineRule="exact"/>
        <w:rPr>
          <w:sz w:val="24"/>
          <w:szCs w:val="24"/>
        </w:rPr>
      </w:pPr>
    </w:p>
    <w:p>
      <w:pPr>
        <w:numPr>
          <w:ilvl w:val="0"/>
          <w:numId w:val="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Indian Philosophers (Aurobindo, Gandhi, Tagore and Krishna Murthy) with special reference to the main ideas of these thinkers concerning aims of education and pedagogic practices.  </w:t>
      </w:r>
    </w:p>
    <w:p>
      <w:pPr>
        <w:numPr>
          <w:ilvl w:val="0"/>
          <w:numId w:val="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Agencies of Education: School, family, community and media </w:t>
      </w:r>
    </w:p>
    <w:p>
      <w:pPr>
        <w:numPr>
          <w:ilvl w:val="0"/>
          <w:numId w:val="2"/>
        </w:numPr>
        <w:overflowPunct w:val="0"/>
        <w:spacing w:line="26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Constitutional provisions on education that reflect National Ideals: Equality, liberty, secularism, and social justice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b/>
          <w:bCs/>
          <w:color w:val="000000"/>
          <w:sz w:val="24"/>
          <w:szCs w:val="24"/>
        </w:rPr>
        <w:t>Unit 2: Understanding Diversity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shd w:val="clear" w:color="auto" w:fill="FFFFFF"/>
        <w:spacing w:before="264"/>
        <w:rPr>
          <w:rFonts w:hint="default"/>
          <w:lang w:val="en-US"/>
        </w:rPr>
      </w:pPr>
    </w:p>
    <w:p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30" w:line="317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Concept of Diversity and Diversity in Global Prospective</w:t>
      </w:r>
    </w:p>
    <w:p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Types of Diversity: Gender, linguistic, caste, region, socio-economic and disability</w:t>
      </w:r>
    </w:p>
    <w:p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Diversity in learning and play</w:t>
      </w:r>
    </w:p>
    <w:p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Addressing diverse learning needs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/>
          <w:lang w:val="en-US"/>
        </w:rPr>
      </w:pPr>
      <w:r>
        <w:rPr>
          <w:b/>
          <w:bCs/>
          <w:color w:val="000000"/>
          <w:sz w:val="24"/>
          <w:szCs w:val="24"/>
        </w:rPr>
        <w:t>Unit 3: Contemporary Issues and Concerns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120" w:line="317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Universalisation of School Education, Right to Education and Universal Access</w:t>
      </w:r>
    </w:p>
    <w:p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Issues of a) Universal enrolment b) Universal retention c) Universal learning</w:t>
      </w:r>
    </w:p>
    <w:p>
      <w:pPr>
        <w:shd w:val="clear" w:color="auto" w:fill="FFFFFF"/>
        <w:tabs>
          <w:tab w:val="left" w:pos="725"/>
        </w:tabs>
        <w:spacing w:line="317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3.3 Equal Educational Opportunity:  Meaning of equality and constitutional provisions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3"/>
          <w:sz w:val="24"/>
          <w:szCs w:val="24"/>
        </w:rPr>
        <w:t>3.4 Inequality in Schooling: Public-private schools, rural-urban schools, single teacher</w:t>
      </w:r>
      <w:r>
        <w:rPr>
          <w:color w:val="000000"/>
          <w:spacing w:val="3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schools and other forms of inequalities such as regular and distance education system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b/>
          <w:bCs/>
          <w:color w:val="000000"/>
          <w:sz w:val="24"/>
          <w:szCs w:val="24"/>
        </w:rPr>
        <w:t>Unit 4: Education Commissions and Policy (School Education)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17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National Commissions and Policies: Education Commission (1964), NPE and POA</w:t>
      </w:r>
      <w:r>
        <w:rPr>
          <w:color w:val="000000"/>
          <w:spacing w:val="3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(1986, 1992), National Policy for Persons with Disabilities (2006), NEP 2020</w:t>
      </w:r>
    </w:p>
    <w:p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17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National Acts: RCI Act, 1992,  NT Act, 1999, RTE Act (2009 &amp; </w:t>
      </w:r>
      <w:r>
        <w:rPr>
          <w:color w:val="000000"/>
          <w:spacing w:val="-4"/>
          <w:sz w:val="24"/>
          <w:szCs w:val="24"/>
        </w:rPr>
        <w:t>2012), RPwD Act 2016</w:t>
      </w:r>
    </w:p>
    <w:p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17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Programmes and schemes of education for children with special needs.</w:t>
      </w:r>
    </w:p>
    <w:p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17" w:lineRule="exact"/>
        <w:rPr>
          <w:color w:val="000000"/>
          <w:spacing w:val="-8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International Conventions and Policies:  Salamanca Declaration and Framework,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 xml:space="preserve">1994; UNCRPD, 2006; MDG,  INCHEON strategies, SDGs. </w:t>
      </w:r>
    </w:p>
    <w:p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17" w:lineRule="exact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Development of the educational system through interaction of various policy imperatives in the historical and contemporary contexts.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/>
          <w:lang w:val="en-US"/>
        </w:rPr>
      </w:pPr>
      <w:r>
        <w:rPr>
          <w:b/>
          <w:bCs/>
          <w:color w:val="000000"/>
          <w:spacing w:val="-1"/>
          <w:sz w:val="24"/>
          <w:szCs w:val="24"/>
        </w:rPr>
        <w:t>Unit 5: Issues and Trends in Education</w:t>
      </w:r>
      <w:r>
        <w:rPr>
          <w:rFonts w:hint="default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</w:t>
      </w:r>
      <w:r>
        <w:rPr>
          <w:rFonts w:hint="default" w:cs="Times New Roman"/>
          <w:b/>
          <w:bCs/>
          <w:color w:val="000000"/>
          <w:sz w:val="24"/>
          <w:szCs w:val="24"/>
          <w:lang w:val="en-US"/>
        </w:rPr>
        <w:t xml:space="preserve">9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hours)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115" w:line="317" w:lineRule="exact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Challenges of education from preschool to senior secondary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5" w:line="317" w:lineRule="exact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Inclusive education as a rights based model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Complementarity of inclusive and special schools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Community participation and community based education</w:t>
      </w:r>
    </w:p>
    <w:p>
      <w:pPr>
        <w:shd w:val="clear" w:color="auto" w:fill="FFFFFF"/>
        <w:spacing w:before="274"/>
        <w:ind w:left="10"/>
        <w:rPr>
          <w:rFonts w:hint="default"/>
          <w:lang w:val="en-US"/>
        </w:rPr>
      </w:pPr>
      <w:r>
        <w:rPr>
          <w:b/>
          <w:bCs/>
          <w:color w:val="000000"/>
          <w:sz w:val="24"/>
          <w:szCs w:val="24"/>
        </w:rPr>
        <w:t>Some Suggested Activities on contemporary issues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25"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Comparative study of different settings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Conflicts and social movements in India: Women, Dalit, Tribal and Disabled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Educational debates and movements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First generation learners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Children with disabilities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Inclusive education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RTE act in the context of disadvantaged. 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Linguistic and religious diversity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Human rights, minority rights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Educational status of various groups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Special and inclusive schools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Analysis of contemporary debates</w:t>
      </w:r>
    </w:p>
    <w:p>
      <w:pPr>
        <w:shd w:val="clear" w:color="auto" w:fill="FFFFFF"/>
        <w:spacing w:before="514"/>
      </w:pPr>
      <w:r>
        <w:rPr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numPr>
          <w:ilvl w:val="0"/>
          <w:numId w:val="8"/>
        </w:numPr>
        <w:shd w:val="clear" w:color="auto" w:fill="FFFFFF"/>
        <w:tabs>
          <w:tab w:val="left" w:pos="710"/>
          <w:tab w:val="clear" w:pos="420"/>
        </w:tabs>
        <w:spacing w:before="144" w:line="312" w:lineRule="exact"/>
        <w:ind w:left="420" w:leftChars="0" w:hanging="420" w:firstLineChars="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Guha, R. (2007). India after Gandhi: The History of the World's Largest Democracy.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Macmillon: Delhi.</w:t>
      </w:r>
    </w:p>
    <w:p>
      <w:pPr>
        <w:numPr>
          <w:ilvl w:val="0"/>
          <w:numId w:val="8"/>
        </w:numPr>
        <w:shd w:val="clear" w:color="auto" w:fill="FFFFFF"/>
        <w:tabs>
          <w:tab w:val="left" w:pos="710"/>
          <w:tab w:val="clear" w:pos="420"/>
        </w:tabs>
        <w:spacing w:line="322" w:lineRule="exact"/>
        <w:ind w:left="420" w:leftChars="0" w:hanging="420" w:firstLineChars="0"/>
        <w:contextualSpacing/>
        <w:rPr>
          <w:rFonts w:eastAsia="Times New Roman" w:cs="Mangal"/>
          <w:color w:val="000000"/>
          <w:sz w:val="24"/>
          <w:szCs w:val="24"/>
        </w:rPr>
      </w:pPr>
      <w:r>
        <w:rPr>
          <w:rFonts w:eastAsia="Times New Roman" w:cs="Mangal"/>
          <w:color w:val="000000"/>
          <w:spacing w:val="3"/>
          <w:sz w:val="24"/>
          <w:szCs w:val="24"/>
        </w:rPr>
        <w:t>National Education Commission. (1964-66). Ministry of Education, Government of</w:t>
      </w:r>
      <w:r>
        <w:rPr>
          <w:rFonts w:eastAsia="Times New Roman" w:cs="Mangal"/>
          <w:color w:val="000000"/>
          <w:spacing w:val="3"/>
          <w:sz w:val="24"/>
          <w:szCs w:val="24"/>
        </w:rPr>
        <w:br w:type="textWrapping"/>
      </w:r>
      <w:r>
        <w:rPr>
          <w:rFonts w:eastAsia="Times New Roman" w:cs="Mangal"/>
          <w:color w:val="000000"/>
          <w:spacing w:val="-1"/>
          <w:sz w:val="24"/>
          <w:szCs w:val="24"/>
        </w:rPr>
        <w:t>India, New Delhi</w:t>
      </w:r>
    </w:p>
    <w:p>
      <w:pPr>
        <w:numPr>
          <w:ilvl w:val="0"/>
          <w:numId w:val="8"/>
        </w:numPr>
        <w:shd w:val="clear" w:color="auto" w:fill="FFFFFF"/>
        <w:tabs>
          <w:tab w:val="left" w:pos="710"/>
          <w:tab w:val="clear" w:pos="420"/>
        </w:tabs>
        <w:spacing w:before="62" w:line="322" w:lineRule="exact"/>
        <w:ind w:left="420" w:leftChars="0" w:hanging="420" w:firstLineChars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National   Policy   on   Education.   (1986   &amp;   92). Ministry   of Human       Resource </w:t>
      </w:r>
      <w:r>
        <w:rPr>
          <w:rFonts w:eastAsia="Times New Roman"/>
          <w:color w:val="000000"/>
          <w:spacing w:val="-1"/>
          <w:sz w:val="24"/>
          <w:szCs w:val="24"/>
        </w:rPr>
        <w:t>Development Government of India, New Delhi.</w:t>
      </w:r>
    </w:p>
    <w:p>
      <w:pPr>
        <w:numPr>
          <w:ilvl w:val="0"/>
          <w:numId w:val="8"/>
        </w:numPr>
        <w:shd w:val="clear" w:color="auto" w:fill="FFFFFF"/>
        <w:tabs>
          <w:tab w:val="left" w:pos="710"/>
          <w:tab w:val="clear" w:pos="420"/>
        </w:tabs>
        <w:spacing w:before="72" w:line="317" w:lineRule="exact"/>
        <w:ind w:left="420" w:leftChars="0" w:hanging="420" w:firstLineChars="0"/>
        <w:rPr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Right to Education   Act.   (2009).   Ministry   of Human Resource Development,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Government of India, New Delhi.</w:t>
      </w:r>
    </w:p>
    <w:p>
      <w:pPr>
        <w:numPr>
          <w:numId w:val="0"/>
        </w:numPr>
        <w:shd w:val="clear" w:color="auto" w:fill="FFFFFF"/>
        <w:tabs>
          <w:tab w:val="left" w:pos="710"/>
        </w:tabs>
        <w:spacing w:before="72" w:line="317" w:lineRule="exact"/>
        <w:ind w:leftChars="0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numPr>
          <w:ilvl w:val="0"/>
          <w:numId w:val="9"/>
        </w:numPr>
        <w:shd w:val="clear" w:color="auto" w:fill="FFFFFF"/>
        <w:spacing w:before="394"/>
        <w:rPr>
          <w:b/>
          <w:bCs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Organizing discussions, presentations and projects on some of the following:</w:t>
      </w:r>
    </w:p>
    <w:p>
      <w:pPr>
        <w:numPr>
          <w:ilvl w:val="0"/>
          <w:numId w:val="10"/>
        </w:numPr>
        <w:shd w:val="clear" w:color="auto" w:fill="FFFFFF"/>
        <w:tabs>
          <w:tab w:val="left" w:pos="810"/>
        </w:tabs>
        <w:spacing w:before="125" w:line="326" w:lineRule="exact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Aggarwal. J. C. (1992). Development and Planning of Modern Education: New Delhi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 xml:space="preserve">    Vikas Publishing House Pvt. Ltd.</w:t>
      </w:r>
    </w:p>
    <w:p>
      <w:pPr>
        <w:numPr>
          <w:ilvl w:val="0"/>
          <w:numId w:val="10"/>
        </w:numPr>
        <w:shd w:val="clear" w:color="auto" w:fill="FFFFFF"/>
        <w:tabs>
          <w:tab w:val="left" w:pos="360"/>
        </w:tabs>
        <w:spacing w:before="72" w:line="317" w:lineRule="exact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Ain, L. C. (2010). Civil Disobedience, Book Review Literary Trust: New Delhi.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 xml:space="preserve">    Select chapters.</w:t>
      </w:r>
    </w:p>
    <w:p>
      <w:pPr>
        <w:numPr>
          <w:ilvl w:val="0"/>
          <w:numId w:val="10"/>
        </w:numPr>
        <w:shd w:val="clear" w:color="auto" w:fill="FFFFFF"/>
        <w:tabs>
          <w:tab w:val="left" w:pos="360"/>
        </w:tabs>
        <w:spacing w:before="67" w:line="317" w:lineRule="exact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Anand, S. P. (1993).The Teacher &amp; Education in Emerging Indian Society, New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 xml:space="preserve">   Delhi: NCERT.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Bhat. B. D. (1996). Educational Documents in India, New Delhi: Arya Book Depot.</w:t>
      </w:r>
    </w:p>
    <w:p>
      <w:pPr>
        <w:numPr>
          <w:ilvl w:val="0"/>
          <w:numId w:val="10"/>
        </w:numPr>
        <w:shd w:val="clear" w:color="auto" w:fill="FFFFFF"/>
        <w:tabs>
          <w:tab w:val="left" w:pos="540"/>
        </w:tabs>
        <w:spacing w:before="86" w:line="317" w:lineRule="exact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Bhatia, K. &amp; Bhatia, B. (1997). The Philosophical and Sociological Foundations, New</w:t>
      </w:r>
      <w:r>
        <w:rPr>
          <w:rFonts w:eastAsia="Times New Roman"/>
          <w:color w:val="000000"/>
          <w:spacing w:val="-1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 xml:space="preserve">    Delhi Doaba House.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0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Biswas. A. (1992). Education in India, Arya Book Depot. New Delhi</w:t>
      </w:r>
    </w:p>
    <w:p>
      <w:pPr>
        <w:numPr>
          <w:ilvl w:val="0"/>
          <w:numId w:val="10"/>
        </w:numPr>
        <w:shd w:val="clear" w:color="auto" w:fill="FFFFFF"/>
        <w:tabs>
          <w:tab w:val="left" w:pos="1170"/>
        </w:tabs>
        <w:spacing w:before="91" w:line="312" w:lineRule="exact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Biswas. A., &amp; Aggarwal, J.C. (1992). Education in India, Arya Book Depot New</w:t>
      </w:r>
      <w:r>
        <w:rPr>
          <w:rFonts w:eastAsia="Times New Roman"/>
          <w:color w:val="000000"/>
          <w:spacing w:val="6"/>
          <w:sz w:val="24"/>
          <w:szCs w:val="24"/>
        </w:rPr>
        <w:br w:type="textWrapping"/>
      </w:r>
      <w:r>
        <w:rPr>
          <w:rFonts w:eastAsia="Times New Roman"/>
          <w:color w:val="000000"/>
          <w:spacing w:val="-4"/>
          <w:sz w:val="24"/>
          <w:szCs w:val="24"/>
        </w:rPr>
        <w:t xml:space="preserve">    Delhi.</w:t>
      </w:r>
    </w:p>
    <w:p>
      <w:pPr>
        <w:numPr>
          <w:ilvl w:val="0"/>
          <w:numId w:val="10"/>
        </w:numPr>
        <w:shd w:val="clear" w:color="auto" w:fill="FFFFFF"/>
        <w:tabs>
          <w:tab w:val="left" w:pos="1170"/>
        </w:tabs>
        <w:spacing w:before="86" w:line="317" w:lineRule="exact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Chakravarty,   S.   (1987). Development Planning:   The Indian Experience,   Oxford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 xml:space="preserve">   University press: New Delhi.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0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Chandra, B. (1997). Nationalism and Colonialism, Orient Longman: Hyderabad.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0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Choudhary. K.C., &amp; Sachdeva, L. (1995). Total literacy by 2000: New Delhi: IAE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 xml:space="preserve">    Association.</w:t>
      </w:r>
    </w:p>
    <w:p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82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Deaton A., &amp; Dreze, J. (2008-2009). Poverty and Inequality in India in Raj Kapila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5"/>
          <w:sz w:val="24"/>
          <w:szCs w:val="24"/>
        </w:rPr>
        <w:t xml:space="preserve">   and Uma Kapila (Ed.) in Indian Economy since Independence. Oxford University </w:t>
      </w:r>
      <w:r>
        <w:rPr>
          <w:rFonts w:eastAsia="Times New Roman"/>
          <w:color w:val="000000"/>
          <w:spacing w:val="-1"/>
          <w:sz w:val="24"/>
          <w:szCs w:val="24"/>
        </w:rPr>
        <w:t>Press: New Delhi.</w:t>
      </w:r>
    </w:p>
    <w:p>
      <w:pPr>
        <w:numPr>
          <w:ilvl w:val="0"/>
          <w:numId w:val="11"/>
        </w:numPr>
        <w:shd w:val="clear" w:color="auto" w:fill="FFFFFF"/>
        <w:tabs>
          <w:tab w:val="left" w:pos="450"/>
        </w:tabs>
        <w:spacing w:before="82" w:line="31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Deshpande, S. (2004). Contemporary India: A Sociological View. Penguin: New</w:t>
      </w:r>
      <w:r>
        <w:rPr>
          <w:rFonts w:eastAsia="Times New Roman"/>
          <w:color w:val="000000"/>
          <w:spacing w:val="6"/>
          <w:sz w:val="24"/>
          <w:szCs w:val="24"/>
        </w:rPr>
        <w:br w:type="textWrapping"/>
      </w:r>
      <w:r>
        <w:rPr>
          <w:rFonts w:eastAsia="Times New Roman"/>
          <w:color w:val="000000"/>
          <w:spacing w:val="-4"/>
          <w:sz w:val="24"/>
          <w:szCs w:val="24"/>
        </w:rPr>
        <w:t>Delhi</w:t>
      </w:r>
    </w:p>
    <w:p>
      <w:pPr>
        <w:numPr>
          <w:ilvl w:val="0"/>
          <w:numId w:val="11"/>
        </w:numPr>
        <w:shd w:val="clear" w:color="auto" w:fill="FFFFFF"/>
        <w:tabs>
          <w:tab w:val="left" w:pos="450"/>
        </w:tabs>
        <w:spacing w:before="82" w:line="31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Dhankar, Rohit (2006). Shiksha Aur Samajh Haryana: Aadhar Prakashan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9" w:line="39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Dubey, S. C (2001). Indian Society, National Book Trust: New Delhi.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9" w:line="39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Elmhirst, L.K. (1994). Rabindranath Tagore: Pioneer in Education. Delhi: Sahitya Chayan 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9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Famous Speeches of Gandhi </w:t>
      </w:r>
      <w:r>
        <w:rPr>
          <w:rFonts w:eastAsia="Times New Roman"/>
          <w:color w:val="000000"/>
          <w:spacing w:val="11"/>
          <w:sz w:val="24"/>
          <w:szCs w:val="24"/>
        </w:rPr>
        <w:t>ji: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Speech on the Eve of The Last Fast, January 12, 1948.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9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http://unesdoc.unesco.org/images/0023/002322/232205e.pdf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9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http://www.gandhi-manibhavan.org/gandhicomesalive/speech8.htm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9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http ://www.mkgandhi. org/speeches/speechMain.htm</w:t>
      </w:r>
    </w:p>
    <w:p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9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Jain, L.C. (2010). Civil Disobedience, Book Review Literary Trust, New Delhi.</w:t>
      </w:r>
    </w:p>
    <w:p>
      <w:pPr>
        <w:numPr>
          <w:ilvl w:val="0"/>
          <w:numId w:val="10"/>
        </w:numPr>
        <w:shd w:val="clear" w:color="auto" w:fill="FFFFFF"/>
        <w:tabs>
          <w:tab w:val="left" w:pos="710"/>
        </w:tabs>
        <w:spacing w:before="43" w:line="326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Jagannath. M. (1993). Indian Education in the Emerging Society, New Delhi Sterling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 xml:space="preserve">    publishers Pvt. Ltd.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Jangira, N.K. (2012). NCERT Mmother of Inclusive Eeducation Address on Golden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 xml:space="preserve">    Jubilee of NCERT at RIE, Ajmer on 01 Sept. 2012.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Kashyap, S. C. (2009). The Constitution of India, National Book Trust: New Delhi.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Kumar, Krishna. (1977). Raj Samaj aur Shiksha. Delhi: Rajkamal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Kumar, Krishna. (1998). Shiksha  Gyan Aur Varchasv. Delhi: Granthshilpi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Kumar, Krishna. (2002). Shiksha  Aur Gyan. Delhi: Granthshilpi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Kumar, Krishna. (2004). What is Worth Teaching? Delhi: Orient Longman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10"/>
        <w:contextualSpacing/>
        <w:rPr>
          <w:rFonts w:eastAsia="Times New Roman" w:cs="Mangal"/>
          <w:color w:val="000000"/>
          <w:sz w:val="24"/>
          <w:szCs w:val="24"/>
        </w:rPr>
      </w:pPr>
      <w:r>
        <w:rPr>
          <w:rFonts w:eastAsia="Times New Roman" w:cs="Mangal"/>
          <w:color w:val="000000"/>
          <w:sz w:val="24"/>
          <w:szCs w:val="24"/>
        </w:rPr>
        <w:t>Krishnamuri, Jiddu.(1992) Education and the Significance of Life. India:                   Krishnamurti   Foundation   India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86" w:line="312" w:lineRule="exact"/>
        <w:contextualSpacing/>
        <w:rPr>
          <w:rFonts w:eastAsia="Times New Roman" w:cs="Mangal"/>
          <w:color w:val="000000"/>
          <w:sz w:val="24"/>
          <w:szCs w:val="24"/>
        </w:rPr>
      </w:pPr>
      <w:r>
        <w:rPr>
          <w:rFonts w:eastAsia="Times New Roman" w:cs="Mangal"/>
          <w:color w:val="000000"/>
          <w:spacing w:val="3"/>
          <w:sz w:val="24"/>
          <w:szCs w:val="24"/>
        </w:rPr>
        <w:t xml:space="preserve">Sapra. C. L., &amp; Aggarwal, A. (1987): Education in India some critical Issues. New    </w:t>
      </w:r>
      <w:r>
        <w:rPr>
          <w:rFonts w:eastAsia="Times New Roman" w:cs="Mangal"/>
          <w:color w:val="000000"/>
          <w:spacing w:val="-1"/>
          <w:sz w:val="24"/>
          <w:szCs w:val="24"/>
        </w:rPr>
        <w:t>Delhi: National Book Organisation.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67" w:line="326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Saraswathi, T. S. (1999). Culture, Socialization and Human Development, New Delhi:</w:t>
      </w:r>
      <w:r>
        <w:rPr>
          <w:rFonts w:eastAsia="Times New Roman"/>
          <w:color w:val="000000"/>
          <w:spacing w:val="-1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 xml:space="preserve">    Sage Publications.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0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Steven, B. (1998). School and Society, New Delhi: Sage Publications.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11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Suresh, D. (1998). Curriculum and Child Development, Agra: Bhargava.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82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Taneja.    V.R.    (1998).    Educational    Thoughts    and   Practice, Delhi            University </w:t>
      </w:r>
      <w:r>
        <w:rPr>
          <w:rFonts w:eastAsia="Times New Roman"/>
          <w:color w:val="000000"/>
          <w:spacing w:val="-2"/>
          <w:sz w:val="24"/>
          <w:szCs w:val="24"/>
        </w:rPr>
        <w:t>Publications.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58" w:line="326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Vaidyanathan, A. (1995). The Indian Economy: Crisis, Response and Prospects.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 xml:space="preserve">   Tracts of the Times. Orient Longman Publications: New Delhi.</w:t>
      </w:r>
    </w:p>
    <w:p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77" w:line="31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Weber. O.C. (1990). Basic Philosophies of Education, New York Holt, Rinehart and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 xml:space="preserve">  Winston.</w:t>
      </w: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Keywords: Universal Education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en-US"/>
        </w:rPr>
        <w:t>, Inclusion, Contemporary,Equality,Diversity</w:t>
      </w:r>
    </w:p>
    <w:sectPr>
      <w:pgSz w:w="12240" w:h="15840"/>
      <w:pgMar w:top="117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0007049"/>
    <w:multiLevelType w:val="multilevel"/>
    <w:tmpl w:val="00007049"/>
    <w:lvl w:ilvl="0" w:tentative="0">
      <w:start w:val="1"/>
      <w:numFmt w:val="decimal"/>
      <w:lvlText w:val="1.%1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07E33C87"/>
    <w:multiLevelType w:val="multilevel"/>
    <w:tmpl w:val="07E33C87"/>
    <w:lvl w:ilvl="0" w:tentative="0">
      <w:start w:val="0"/>
      <w:numFmt w:val="bullet"/>
      <w:lvlText w:val="•"/>
      <w:legacy w:legacy="1" w:legacySpace="0" w:legacyIndent="345"/>
      <w:lvlJc w:val="left"/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">
    <w:nsid w:val="0C4863DB"/>
    <w:multiLevelType w:val="singleLevel"/>
    <w:tmpl w:val="0C4863DB"/>
    <w:lvl w:ilvl="0" w:tentative="0">
      <w:start w:val="1"/>
      <w:numFmt w:val="decimal"/>
      <w:lvlText w:val="3.%1"/>
      <w:legacy w:legacy="1" w:legacySpace="0" w:legacyIndent="350"/>
      <w:lvlJc w:val="left"/>
      <w:rPr>
        <w:rFonts w:hint="default" w:ascii="Times New Roman" w:hAnsi="Times New Roman" w:cs="Times New Roman"/>
      </w:rPr>
    </w:lvl>
  </w:abstractNum>
  <w:abstractNum w:abstractNumId="4">
    <w:nsid w:val="1E47305D"/>
    <w:multiLevelType w:val="multilevel"/>
    <w:tmpl w:val="1E47305D"/>
    <w:lvl w:ilvl="0" w:tentative="0">
      <w:start w:val="1"/>
      <w:numFmt w:val="bullet"/>
      <w:lvlText w:val=""/>
      <w:lvlJc w:val="left"/>
      <w:pPr>
        <w:ind w:left="108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5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5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5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5" w:hanging="360"/>
      </w:pPr>
      <w:rPr>
        <w:rFonts w:hint="default" w:ascii="Wingdings" w:hAnsi="Wingdings"/>
      </w:rPr>
    </w:lvl>
  </w:abstractNum>
  <w:abstractNum w:abstractNumId="5">
    <w:nsid w:val="57192658"/>
    <w:multiLevelType w:val="singleLevel"/>
    <w:tmpl w:val="57192658"/>
    <w:lvl w:ilvl="0" w:tentative="0">
      <w:start w:val="1"/>
      <w:numFmt w:val="decimal"/>
      <w:lvlText w:val="2.%1"/>
      <w:legacy w:legacy="1" w:legacySpace="0" w:legacyIndent="355"/>
      <w:lvlJc w:val="left"/>
      <w:rPr>
        <w:rFonts w:hint="default" w:ascii="Times New Roman" w:hAnsi="Times New Roman" w:cs="Times New Roman"/>
      </w:rPr>
    </w:lvl>
  </w:abstractNum>
  <w:abstractNum w:abstractNumId="6">
    <w:nsid w:val="57DA0594"/>
    <w:multiLevelType w:val="singleLevel"/>
    <w:tmpl w:val="57DA0594"/>
    <w:lvl w:ilvl="0" w:tentative="0">
      <w:start w:val="1"/>
      <w:numFmt w:val="decimal"/>
      <w:lvlText w:val="4.%1"/>
      <w:legacy w:legacy="1" w:legacySpace="0" w:legacyIndent="360"/>
      <w:lvlJc w:val="left"/>
      <w:rPr>
        <w:rFonts w:hint="default" w:ascii="Times New Roman" w:hAnsi="Times New Roman" w:cs="Times New Roman"/>
      </w:rPr>
    </w:lvl>
  </w:abstractNum>
  <w:abstractNum w:abstractNumId="7">
    <w:nsid w:val="69C57A86"/>
    <w:multiLevelType w:val="singleLevel"/>
    <w:tmpl w:val="69C57A86"/>
    <w:lvl w:ilvl="0" w:tentative="0">
      <w:start w:val="1"/>
      <w:numFmt w:val="decimal"/>
      <w:lvlText w:val="5.%1"/>
      <w:legacy w:legacy="1" w:legacySpace="0" w:legacyIndent="345"/>
      <w:lvlJc w:val="left"/>
      <w:rPr>
        <w:rFonts w:hint="default" w:ascii="Times New Roman" w:hAnsi="Times New Roman" w:cs="Times New Roman"/>
      </w:rPr>
    </w:lvl>
  </w:abstractNum>
  <w:abstractNum w:abstractNumId="8">
    <w:nsid w:val="6E161715"/>
    <w:multiLevelType w:val="multilevel"/>
    <w:tmpl w:val="6E16171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7F18D1A"/>
    <w:multiLevelType w:val="singleLevel"/>
    <w:tmpl w:val="77F18D1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345"/>
        <w:lvlJc w:val="left"/>
        <w:rPr>
          <w:rFonts w:hint="default" w:ascii="Times New Roman" w:hAnsi="Times New Roman"/>
        </w:rPr>
      </w:lvl>
    </w:lvlOverride>
  </w:num>
  <w:num w:numId="8">
    <w:abstractNumId w:val="9"/>
  </w:num>
  <w:num w:numId="9">
    <w:abstractNumId w:val="2"/>
  </w:num>
  <w:num w:numId="10">
    <w:abstractNumId w:val="0"/>
    <w:lvlOverride w:ilvl="0">
      <w:lvl w:ilvl="0" w:tentative="1">
        <w:start w:val="0"/>
        <w:numFmt w:val="bullet"/>
        <w:lvlText w:val="•"/>
        <w:lvlJc w:val="left"/>
        <w:pPr>
          <w:ind w:left="720" w:hanging="360"/>
        </w:pPr>
        <w:rPr>
          <w:rFonts w:hint="default" w:ascii="Times New Roman" w:hAnsi="Times New Roman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76"/>
    <w:rsid w:val="00414D20"/>
    <w:rsid w:val="00441923"/>
    <w:rsid w:val="00457276"/>
    <w:rsid w:val="004E405E"/>
    <w:rsid w:val="0053797B"/>
    <w:rsid w:val="005F5B52"/>
    <w:rsid w:val="00613D84"/>
    <w:rsid w:val="006227A4"/>
    <w:rsid w:val="0085753E"/>
    <w:rsid w:val="008711F1"/>
    <w:rsid w:val="00AD7FF2"/>
    <w:rsid w:val="00C14924"/>
    <w:rsid w:val="00E36445"/>
    <w:rsid w:val="7EFB8031"/>
    <w:rsid w:val="DFB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1155</Words>
  <Characters>6589</Characters>
  <Lines>54</Lines>
  <Paragraphs>15</Paragraphs>
  <TotalTime>5</TotalTime>
  <ScaleCrop>false</ScaleCrop>
  <LinksUpToDate>false</LinksUpToDate>
  <CharactersWithSpaces>7729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2024-01-17T14:04:00Z</dcterms:created>
  <dc:creator>dell</dc:creator>
  <cp:lastModifiedBy>dr.deepika</cp:lastModifiedBy>
  <dcterms:modified xsi:type="dcterms:W3CDTF">2024-05-17T12:04:04Z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